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263B8" w:rsidRPr="007263B8" w:rsidRDefault="00BD15C2" w:rsidP="007263B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E89CF80" wp14:editId="67EA3E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0310" cy="1069149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F49F1" w:rsidRDefault="00CF49F1" w:rsidP="00CF49F1">
      <w:pPr>
        <w:ind w:left="720"/>
        <w:rPr>
          <w:noProof/>
          <w:lang w:eastAsia="en-GB"/>
        </w:rPr>
      </w:pPr>
    </w:p>
    <w:p w:rsidR="007263B8" w:rsidRPr="007263B8" w:rsidRDefault="00BD15C2" w:rsidP="007263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D4412" wp14:editId="00A939F0">
                <wp:simplePos x="0" y="0"/>
                <wp:positionH relativeFrom="column">
                  <wp:posOffset>2771775</wp:posOffset>
                </wp:positionH>
                <wp:positionV relativeFrom="paragraph">
                  <wp:posOffset>287020</wp:posOffset>
                </wp:positionV>
                <wp:extent cx="4610100" cy="714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EB" w:rsidRPr="00BD15C2" w:rsidRDefault="004E2AEB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22.6pt;width:363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" filled="f" stroked="f">
                <v:textbox>
                  <w:txbxContent>
                    <w:p w:rsidR="004E2AEB" w:rsidRPr="00BD15C2" w:rsidRDefault="004E2AEB">
                      <w:pP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263B8" w:rsidRPr="007263B8" w:rsidRDefault="007263B8" w:rsidP="007263B8"/>
    <w:p w:rsidR="007263B8" w:rsidRDefault="007263B8" w:rsidP="007263B8"/>
    <w:p w:rsidR="00F3742D" w:rsidRPr="007263B8" w:rsidRDefault="005F064D" w:rsidP="007263B8">
      <w:pPr>
        <w:tabs>
          <w:tab w:val="left" w:pos="50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16E71" wp14:editId="1646E5C8">
                <wp:simplePos x="0" y="0"/>
                <wp:positionH relativeFrom="margin">
                  <wp:align>center</wp:align>
                </wp:positionH>
                <wp:positionV relativeFrom="paragraph">
                  <wp:posOffset>1032510</wp:posOffset>
                </wp:positionV>
                <wp:extent cx="6143625" cy="70770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EB" w:rsidRPr="003947F3" w:rsidRDefault="004E2AEB" w:rsidP="005F064D">
                            <w:pPr>
                              <w:rPr>
                                <w:color w:val="009999"/>
                                <w:sz w:val="28"/>
                                <w:szCs w:val="28"/>
                              </w:rPr>
                            </w:pPr>
                          </w:p>
                          <w:p w:rsidR="004E2AEB" w:rsidRPr="003947F3" w:rsidRDefault="004E2AEB" w:rsidP="005F064D">
                            <w:pPr>
                              <w:rPr>
                                <w:color w:val="00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9999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63F2D">
                              <w:rPr>
                                <w:color w:val="009999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947F3">
                              <w:rPr>
                                <w:color w:val="009999"/>
                                <w:sz w:val="28"/>
                                <w:szCs w:val="28"/>
                              </w:rPr>
                              <w:t>Thank you for booking a meeting room at Tamworth Enterprise Centre.</w:t>
                            </w:r>
                          </w:p>
                          <w:p w:rsidR="004E2AEB" w:rsidRPr="00363F2D" w:rsidRDefault="00BD6FDC" w:rsidP="00BD6FDC">
                            <w:pPr>
                              <w:jc w:val="center"/>
                              <w:rPr>
                                <w:b/>
                                <w:color w:val="009999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363F2D">
                              <w:rPr>
                                <w:b/>
                                <w:color w:val="009999"/>
                                <w:sz w:val="28"/>
                                <w:szCs w:val="28"/>
                                <w:u w:val="single"/>
                              </w:rPr>
                              <w:t>Terms and Conditions of Booking</w:t>
                            </w:r>
                            <w:r w:rsidR="004E2AEB" w:rsidRPr="00363F2D">
                              <w:rPr>
                                <w:b/>
                                <w:color w:val="009999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4E2AEB" w:rsidRPr="00FA675E" w:rsidRDefault="004E2AEB" w:rsidP="00FA67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 xml:space="preserve">Please be aware that there is </w:t>
                            </w:r>
                            <w:r w:rsidRPr="00FA675E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NO</w:t>
                            </w:r>
                            <w:r w:rsidRPr="00FA675E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>free parking at the centre and all internal spaces are</w:t>
                            </w:r>
                            <w:r w:rsidR="000958F2">
                              <w:rPr>
                                <w:color w:val="009999"/>
                                <w:sz w:val="24"/>
                                <w:szCs w:val="24"/>
                              </w:rPr>
                              <w:t xml:space="preserve"> for the exclusive use of</w:t>
                            </w:r>
                            <w:r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 xml:space="preserve"> tenants. There is paid parking on the main Aldergate car-park or on Hospital Street car-park which is a 30 second walk away. </w:t>
                            </w:r>
                            <w:r w:rsidR="00BB605F">
                              <w:rPr>
                                <w:color w:val="009999"/>
                                <w:sz w:val="24"/>
                                <w:szCs w:val="24"/>
                              </w:rPr>
                              <w:t xml:space="preserve"> For more information visit </w:t>
                            </w:r>
                            <w:hyperlink r:id="rId7" w:history="1">
                              <w:r w:rsidR="00FA675E" w:rsidRPr="00FA675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http://www.tamworth.gov.uk/car-parks</w:t>
                              </w:r>
                            </w:hyperlink>
                            <w:r w:rsidR="00FA675E"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E2AEB" w:rsidRPr="00FA675E" w:rsidRDefault="004E2AEB" w:rsidP="00394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 xml:space="preserve">Cancellation of a booking must be made within two </w:t>
                            </w:r>
                            <w:r w:rsidRPr="00FA675E">
                              <w:rPr>
                                <w:color w:val="009999"/>
                                <w:sz w:val="24"/>
                                <w:szCs w:val="24"/>
                                <w:u w:val="single"/>
                              </w:rPr>
                              <w:t>working</w:t>
                            </w:r>
                            <w:r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 xml:space="preserve"> days (48 hours) of the date of your booking. Bookings not cancelled within this time period will be charged. Cancellations must be made in writing to </w:t>
                            </w:r>
                            <w:hyperlink r:id="rId8" w:history="1">
                              <w:r w:rsidRPr="00FA675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tec@tamworth.gov.uk</w:t>
                              </w:r>
                            </w:hyperlink>
                            <w:r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E2AEB" w:rsidRPr="00FA675E" w:rsidRDefault="004E2AEB" w:rsidP="00394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>Tea, coffee and water can be provided at £1.50 per delegate</w:t>
                            </w:r>
                            <w:r w:rsidR="0003093B">
                              <w:rPr>
                                <w:color w:val="009999"/>
                                <w:sz w:val="24"/>
                                <w:szCs w:val="24"/>
                              </w:rPr>
                              <w:t xml:space="preserve"> (please state number required at time of booking)</w:t>
                            </w:r>
                          </w:p>
                          <w:p w:rsidR="004E2AEB" w:rsidRPr="00FA675E" w:rsidRDefault="004E2AEB" w:rsidP="00394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 xml:space="preserve">The Centre does not provide or organise catering however we have a list of local companies you can contact directly. </w:t>
                            </w:r>
                          </w:p>
                          <w:p w:rsidR="004E2AEB" w:rsidRPr="00FA675E" w:rsidRDefault="004E2AEB" w:rsidP="00394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>All meetings / events must be run and hoste</w:t>
                            </w:r>
                            <w:r w:rsidR="005D27E9">
                              <w:rPr>
                                <w:color w:val="009999"/>
                                <w:sz w:val="24"/>
                                <w:szCs w:val="24"/>
                              </w:rPr>
                              <w:t>d by the meeting host or booking organisation</w:t>
                            </w:r>
                            <w:r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>. They must also provide any health and safety or emergency evacuation advice to all attendees. (Furt</w:t>
                            </w:r>
                            <w:r w:rsidR="000B006E">
                              <w:rPr>
                                <w:color w:val="009999"/>
                                <w:sz w:val="24"/>
                                <w:szCs w:val="24"/>
                              </w:rPr>
                              <w:t>her information and guidance will be provided by</w:t>
                            </w:r>
                            <w:r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 xml:space="preserve"> the Centre Officer)</w:t>
                            </w:r>
                          </w:p>
                          <w:p w:rsidR="004E2AEB" w:rsidRPr="00FA675E" w:rsidRDefault="004E2AEB" w:rsidP="00394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>Responsibility for delegates lies with the company making the booking. This includes but is not exclusive to:</w:t>
                            </w:r>
                          </w:p>
                          <w:p w:rsidR="004E2AEB" w:rsidRPr="00FA675E" w:rsidRDefault="004E2AEB" w:rsidP="004E2AE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>Delegate behaviour</w:t>
                            </w:r>
                            <w:r w:rsidR="006A08C5">
                              <w:rPr>
                                <w:color w:val="009999"/>
                                <w:sz w:val="24"/>
                                <w:szCs w:val="24"/>
                              </w:rPr>
                              <w:t xml:space="preserve"> and conduct</w:t>
                            </w:r>
                          </w:p>
                          <w:p w:rsidR="004E2AEB" w:rsidRPr="00FA675E" w:rsidRDefault="004E2AEB" w:rsidP="004E2AE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>Access to and from the building</w:t>
                            </w:r>
                            <w:r w:rsidR="00BE582E">
                              <w:rPr>
                                <w:color w:val="009999"/>
                                <w:sz w:val="24"/>
                                <w:szCs w:val="24"/>
                              </w:rPr>
                              <w:t xml:space="preserve"> (including security)</w:t>
                            </w:r>
                          </w:p>
                          <w:p w:rsidR="004E2AEB" w:rsidRPr="00FA675E" w:rsidRDefault="004E2AEB" w:rsidP="004E2AE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>Ensuring all delegates are accounted for in case of an emergency</w:t>
                            </w:r>
                          </w:p>
                          <w:p w:rsidR="004E2AEB" w:rsidRPr="00FA675E" w:rsidRDefault="004E2AEB" w:rsidP="00394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>No smoking or vaping is permitted in the building or directly outside of the centre doors.</w:t>
                            </w:r>
                          </w:p>
                          <w:p w:rsidR="004E2AEB" w:rsidRPr="00FA675E" w:rsidRDefault="004E2AEB" w:rsidP="00394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 xml:space="preserve">The room should be left in a clean and orderly state with litter </w:t>
                            </w:r>
                            <w:r w:rsidR="00BE23E9">
                              <w:rPr>
                                <w:color w:val="009999"/>
                                <w:sz w:val="24"/>
                                <w:szCs w:val="24"/>
                              </w:rPr>
                              <w:t xml:space="preserve">or food items </w:t>
                            </w:r>
                            <w:r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 xml:space="preserve">disposed of in the bins provided and mugs / glasses returned to the kitchen area. </w:t>
                            </w:r>
                          </w:p>
                          <w:p w:rsidR="004E2AEB" w:rsidRPr="00FA675E" w:rsidRDefault="0071197F" w:rsidP="00394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9999"/>
                                <w:sz w:val="24"/>
                                <w:szCs w:val="24"/>
                              </w:rPr>
                              <w:t>The m</w:t>
                            </w:r>
                            <w:r w:rsidR="00BD6FDC"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 xml:space="preserve">eeting host will be given a meeting room key and main door access fob for </w:t>
                            </w:r>
                            <w:r>
                              <w:rPr>
                                <w:color w:val="009999"/>
                                <w:sz w:val="24"/>
                                <w:szCs w:val="24"/>
                              </w:rPr>
                              <w:t>the duration of their meeting. The m</w:t>
                            </w:r>
                            <w:r w:rsidR="00BD6FDC"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>eeting host is responsible for returning this key</w:t>
                            </w:r>
                            <w:r>
                              <w:rPr>
                                <w:color w:val="009999"/>
                                <w:sz w:val="24"/>
                                <w:szCs w:val="24"/>
                              </w:rPr>
                              <w:t xml:space="preserve"> (along with any other TEC items)</w:t>
                            </w:r>
                            <w:r w:rsidR="00BD6FDC"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color w:val="009999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D6FDC"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 xml:space="preserve">security of items in the room. </w:t>
                            </w:r>
                          </w:p>
                          <w:p w:rsidR="00BD6FDC" w:rsidRPr="00FA675E" w:rsidRDefault="00BD6FDC" w:rsidP="00394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FA675E">
                              <w:rPr>
                                <w:color w:val="009999"/>
                                <w:sz w:val="24"/>
                                <w:szCs w:val="24"/>
                              </w:rPr>
                              <w:t xml:space="preserve">Tamworth Borough Council is not liable for any loss of items, damages or personal injury incurred. </w:t>
                            </w:r>
                          </w:p>
                          <w:p w:rsidR="004E2AEB" w:rsidRPr="00FA675E" w:rsidRDefault="004E2AEB" w:rsidP="005F064D">
                            <w:pPr>
                              <w:rPr>
                                <w:color w:val="009999"/>
                                <w:sz w:val="24"/>
                                <w:szCs w:val="24"/>
                              </w:rPr>
                            </w:pPr>
                          </w:p>
                          <w:p w:rsidR="004E2AEB" w:rsidRDefault="004E2AEB" w:rsidP="005F064D">
                            <w:pPr>
                              <w:rPr>
                                <w:color w:val="009999"/>
                                <w:sz w:val="40"/>
                                <w:szCs w:val="40"/>
                              </w:rPr>
                            </w:pPr>
                          </w:p>
                          <w:p w:rsidR="004E2AEB" w:rsidRDefault="004E2AEB" w:rsidP="005F064D">
                            <w:pPr>
                              <w:rPr>
                                <w:color w:val="009999"/>
                                <w:sz w:val="40"/>
                                <w:szCs w:val="40"/>
                              </w:rPr>
                            </w:pPr>
                          </w:p>
                          <w:p w:rsidR="004E2AEB" w:rsidRPr="005F064D" w:rsidRDefault="004E2AEB" w:rsidP="005F064D">
                            <w:pPr>
                              <w:rPr>
                                <w:color w:val="009999"/>
                                <w:sz w:val="40"/>
                                <w:szCs w:val="40"/>
                              </w:rPr>
                            </w:pPr>
                          </w:p>
                          <w:p w:rsidR="004E2AEB" w:rsidRPr="005F064D" w:rsidRDefault="004E2AEB" w:rsidP="005F06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81.3pt;width:483.75pt;height:557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" stroked="f">
                <v:textbox>
                  <w:txbxContent>
                    <w:p w:rsidR="004E2AEB" w:rsidRPr="003947F3" w:rsidRDefault="004E2AEB" w:rsidP="005F064D">
                      <w:pPr>
                        <w:rPr>
                          <w:color w:val="009999"/>
                          <w:sz w:val="28"/>
                          <w:szCs w:val="28"/>
                        </w:rPr>
                      </w:pPr>
                    </w:p>
                    <w:p w:rsidR="004E2AEB" w:rsidRPr="003947F3" w:rsidRDefault="004E2AEB" w:rsidP="005F064D">
                      <w:pPr>
                        <w:rPr>
                          <w:color w:val="009999"/>
                          <w:sz w:val="28"/>
                          <w:szCs w:val="28"/>
                        </w:rPr>
                      </w:pPr>
                      <w:r>
                        <w:rPr>
                          <w:color w:val="009999"/>
                          <w:sz w:val="28"/>
                          <w:szCs w:val="28"/>
                        </w:rPr>
                        <w:t xml:space="preserve">        </w:t>
                      </w:r>
                      <w:r w:rsidR="00363F2D">
                        <w:rPr>
                          <w:color w:val="009999"/>
                          <w:sz w:val="28"/>
                          <w:szCs w:val="28"/>
                        </w:rPr>
                        <w:t xml:space="preserve">  </w:t>
                      </w:r>
                      <w:r w:rsidRPr="003947F3">
                        <w:rPr>
                          <w:color w:val="009999"/>
                          <w:sz w:val="28"/>
                          <w:szCs w:val="28"/>
                        </w:rPr>
                        <w:t>Thank you for booking a meeting room at Tamworth Enterprise Centre.</w:t>
                      </w:r>
                    </w:p>
                    <w:p w:rsidR="004E2AEB" w:rsidRPr="00363F2D" w:rsidRDefault="00BD6FDC" w:rsidP="00BD6FDC">
                      <w:pPr>
                        <w:jc w:val="center"/>
                        <w:rPr>
                          <w:b/>
                          <w:color w:val="009999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363F2D">
                        <w:rPr>
                          <w:b/>
                          <w:color w:val="009999"/>
                          <w:sz w:val="28"/>
                          <w:szCs w:val="28"/>
                          <w:u w:val="single"/>
                        </w:rPr>
                        <w:t>Terms and Conditions of Booking</w:t>
                      </w:r>
                      <w:r w:rsidR="004E2AEB" w:rsidRPr="00363F2D">
                        <w:rPr>
                          <w:b/>
                          <w:color w:val="009999"/>
                          <w:sz w:val="28"/>
                          <w:szCs w:val="28"/>
                          <w:u w:val="single"/>
                        </w:rPr>
                        <w:t>.</w:t>
                      </w:r>
                      <w:proofErr w:type="gramEnd"/>
                    </w:p>
                    <w:p w:rsidR="004E2AEB" w:rsidRPr="00FA675E" w:rsidRDefault="004E2AEB" w:rsidP="00FA67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9999"/>
                          <w:sz w:val="24"/>
                          <w:szCs w:val="24"/>
                        </w:rPr>
                      </w:pPr>
                      <w:r w:rsidRPr="00FA675E">
                        <w:rPr>
                          <w:color w:val="009999"/>
                          <w:sz w:val="24"/>
                          <w:szCs w:val="24"/>
                        </w:rPr>
                        <w:t xml:space="preserve">Please be aware that there is </w:t>
                      </w:r>
                      <w:r w:rsidRPr="00FA675E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NO</w:t>
                      </w:r>
                      <w:r w:rsidRPr="00FA675E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FA675E">
                        <w:rPr>
                          <w:color w:val="009999"/>
                          <w:sz w:val="24"/>
                          <w:szCs w:val="24"/>
                        </w:rPr>
                        <w:t>free parking at the centre and all internal spaces are</w:t>
                      </w:r>
                      <w:r w:rsidR="000958F2">
                        <w:rPr>
                          <w:color w:val="009999"/>
                          <w:sz w:val="24"/>
                          <w:szCs w:val="24"/>
                        </w:rPr>
                        <w:t xml:space="preserve"> for the exclusive use of</w:t>
                      </w:r>
                      <w:r w:rsidRPr="00FA675E">
                        <w:rPr>
                          <w:color w:val="009999"/>
                          <w:sz w:val="24"/>
                          <w:szCs w:val="24"/>
                        </w:rPr>
                        <w:t xml:space="preserve"> tenants. There is paid parking on the main Aldergate car-park or on Hospital Street car-park which is a 30 second walk away. </w:t>
                      </w:r>
                      <w:r w:rsidR="00BB605F">
                        <w:rPr>
                          <w:color w:val="009999"/>
                          <w:sz w:val="24"/>
                          <w:szCs w:val="24"/>
                        </w:rPr>
                        <w:t xml:space="preserve"> For more information visit </w:t>
                      </w:r>
                      <w:hyperlink r:id="rId9" w:history="1">
                        <w:r w:rsidR="00FA675E" w:rsidRPr="00FA675E">
                          <w:rPr>
                            <w:rStyle w:val="Hyperlink"/>
                            <w:sz w:val="24"/>
                            <w:szCs w:val="24"/>
                          </w:rPr>
                          <w:t>http://www.tamworth.gov.uk/car-parks</w:t>
                        </w:r>
                      </w:hyperlink>
                      <w:r w:rsidR="00FA675E" w:rsidRPr="00FA675E">
                        <w:rPr>
                          <w:color w:val="0099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E2AEB" w:rsidRPr="00FA675E" w:rsidRDefault="004E2AEB" w:rsidP="00394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9999"/>
                          <w:sz w:val="24"/>
                          <w:szCs w:val="24"/>
                        </w:rPr>
                      </w:pPr>
                      <w:r w:rsidRPr="00FA675E">
                        <w:rPr>
                          <w:color w:val="009999"/>
                          <w:sz w:val="24"/>
                          <w:szCs w:val="24"/>
                        </w:rPr>
                        <w:t xml:space="preserve">Cancellation of a booking must be made within two </w:t>
                      </w:r>
                      <w:r w:rsidRPr="00FA675E">
                        <w:rPr>
                          <w:color w:val="009999"/>
                          <w:sz w:val="24"/>
                          <w:szCs w:val="24"/>
                          <w:u w:val="single"/>
                        </w:rPr>
                        <w:t>working</w:t>
                      </w:r>
                      <w:r w:rsidRPr="00FA675E">
                        <w:rPr>
                          <w:color w:val="009999"/>
                          <w:sz w:val="24"/>
                          <w:szCs w:val="24"/>
                        </w:rPr>
                        <w:t xml:space="preserve"> days (48 hours) of the date of your booking. Bookings not cancelled within this time period will be charged. Cancellations must be made in writing to </w:t>
                      </w:r>
                      <w:hyperlink r:id="rId10" w:history="1">
                        <w:r w:rsidRPr="00FA675E">
                          <w:rPr>
                            <w:rStyle w:val="Hyperlink"/>
                            <w:sz w:val="24"/>
                            <w:szCs w:val="24"/>
                          </w:rPr>
                          <w:t>tec@tamworth.gov.uk</w:t>
                        </w:r>
                      </w:hyperlink>
                      <w:r w:rsidRPr="00FA675E">
                        <w:rPr>
                          <w:color w:val="009999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4E2AEB" w:rsidRPr="00FA675E" w:rsidRDefault="004E2AEB" w:rsidP="00394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9999"/>
                          <w:sz w:val="24"/>
                          <w:szCs w:val="24"/>
                        </w:rPr>
                      </w:pPr>
                      <w:r w:rsidRPr="00FA675E">
                        <w:rPr>
                          <w:color w:val="009999"/>
                          <w:sz w:val="24"/>
                          <w:szCs w:val="24"/>
                        </w:rPr>
                        <w:t>Tea, coffee and water can be provided at £1.50 per delegate</w:t>
                      </w:r>
                      <w:r w:rsidR="0003093B">
                        <w:rPr>
                          <w:color w:val="009999"/>
                          <w:sz w:val="24"/>
                          <w:szCs w:val="24"/>
                        </w:rPr>
                        <w:t xml:space="preserve"> (please state number required at time of booking)</w:t>
                      </w:r>
                    </w:p>
                    <w:p w:rsidR="004E2AEB" w:rsidRPr="00FA675E" w:rsidRDefault="004E2AEB" w:rsidP="00394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9999"/>
                          <w:sz w:val="24"/>
                          <w:szCs w:val="24"/>
                        </w:rPr>
                      </w:pPr>
                      <w:r w:rsidRPr="00FA675E">
                        <w:rPr>
                          <w:color w:val="009999"/>
                          <w:sz w:val="24"/>
                          <w:szCs w:val="24"/>
                        </w:rPr>
                        <w:t xml:space="preserve">The Centre does not provide or organise catering however we have a list of local companies you can contact directly. </w:t>
                      </w:r>
                    </w:p>
                    <w:p w:rsidR="004E2AEB" w:rsidRPr="00FA675E" w:rsidRDefault="004E2AEB" w:rsidP="00394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9999"/>
                          <w:sz w:val="24"/>
                          <w:szCs w:val="24"/>
                        </w:rPr>
                      </w:pPr>
                      <w:r w:rsidRPr="00FA675E">
                        <w:rPr>
                          <w:color w:val="009999"/>
                          <w:sz w:val="24"/>
                          <w:szCs w:val="24"/>
                        </w:rPr>
                        <w:t>All meetings / events must be run and hoste</w:t>
                      </w:r>
                      <w:r w:rsidR="005D27E9">
                        <w:rPr>
                          <w:color w:val="009999"/>
                          <w:sz w:val="24"/>
                          <w:szCs w:val="24"/>
                        </w:rPr>
                        <w:t>d by the meeting host or booking organisation</w:t>
                      </w:r>
                      <w:r w:rsidRPr="00FA675E">
                        <w:rPr>
                          <w:color w:val="009999"/>
                          <w:sz w:val="24"/>
                          <w:szCs w:val="24"/>
                        </w:rPr>
                        <w:t>. They must also provide any health and safety or emergency evacuation advice to all attendees. (Furt</w:t>
                      </w:r>
                      <w:r w:rsidR="000B006E">
                        <w:rPr>
                          <w:color w:val="009999"/>
                          <w:sz w:val="24"/>
                          <w:szCs w:val="24"/>
                        </w:rPr>
                        <w:t>her information and guidance will be provided by</w:t>
                      </w:r>
                      <w:r w:rsidRPr="00FA675E">
                        <w:rPr>
                          <w:color w:val="009999"/>
                          <w:sz w:val="24"/>
                          <w:szCs w:val="24"/>
                        </w:rPr>
                        <w:t xml:space="preserve"> the Centre Officer)</w:t>
                      </w:r>
                    </w:p>
                    <w:p w:rsidR="004E2AEB" w:rsidRPr="00FA675E" w:rsidRDefault="004E2AEB" w:rsidP="00394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9999"/>
                          <w:sz w:val="24"/>
                          <w:szCs w:val="24"/>
                        </w:rPr>
                      </w:pPr>
                      <w:r w:rsidRPr="00FA675E">
                        <w:rPr>
                          <w:color w:val="009999"/>
                          <w:sz w:val="24"/>
                          <w:szCs w:val="24"/>
                        </w:rPr>
                        <w:t>Responsibility for delegates lies with the company making the booking. This includes but is not exclusive to:</w:t>
                      </w:r>
                    </w:p>
                    <w:p w:rsidR="004E2AEB" w:rsidRPr="00FA675E" w:rsidRDefault="004E2AEB" w:rsidP="004E2AE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009999"/>
                          <w:sz w:val="24"/>
                          <w:szCs w:val="24"/>
                        </w:rPr>
                      </w:pPr>
                      <w:r w:rsidRPr="00FA675E">
                        <w:rPr>
                          <w:color w:val="009999"/>
                          <w:sz w:val="24"/>
                          <w:szCs w:val="24"/>
                        </w:rPr>
                        <w:t>Delegate behaviour</w:t>
                      </w:r>
                      <w:r w:rsidR="006A08C5">
                        <w:rPr>
                          <w:color w:val="009999"/>
                          <w:sz w:val="24"/>
                          <w:szCs w:val="24"/>
                        </w:rPr>
                        <w:t xml:space="preserve"> and conduct</w:t>
                      </w:r>
                    </w:p>
                    <w:p w:rsidR="004E2AEB" w:rsidRPr="00FA675E" w:rsidRDefault="004E2AEB" w:rsidP="004E2AE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009999"/>
                          <w:sz w:val="24"/>
                          <w:szCs w:val="24"/>
                        </w:rPr>
                      </w:pPr>
                      <w:r w:rsidRPr="00FA675E">
                        <w:rPr>
                          <w:color w:val="009999"/>
                          <w:sz w:val="24"/>
                          <w:szCs w:val="24"/>
                        </w:rPr>
                        <w:t>Access to and from the building</w:t>
                      </w:r>
                      <w:r w:rsidR="00BE582E">
                        <w:rPr>
                          <w:color w:val="009999"/>
                          <w:sz w:val="24"/>
                          <w:szCs w:val="24"/>
                        </w:rPr>
                        <w:t xml:space="preserve"> (including security)</w:t>
                      </w:r>
                    </w:p>
                    <w:p w:rsidR="004E2AEB" w:rsidRPr="00FA675E" w:rsidRDefault="004E2AEB" w:rsidP="004E2AE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color w:val="009999"/>
                          <w:sz w:val="24"/>
                          <w:szCs w:val="24"/>
                        </w:rPr>
                      </w:pPr>
                      <w:r w:rsidRPr="00FA675E">
                        <w:rPr>
                          <w:color w:val="009999"/>
                          <w:sz w:val="24"/>
                          <w:szCs w:val="24"/>
                        </w:rPr>
                        <w:t>Ensuring all delegates are accounted for in case of an emergency</w:t>
                      </w:r>
                    </w:p>
                    <w:p w:rsidR="004E2AEB" w:rsidRPr="00FA675E" w:rsidRDefault="004E2AEB" w:rsidP="00394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9999"/>
                          <w:sz w:val="24"/>
                          <w:szCs w:val="24"/>
                        </w:rPr>
                      </w:pPr>
                      <w:r w:rsidRPr="00FA675E">
                        <w:rPr>
                          <w:color w:val="009999"/>
                          <w:sz w:val="24"/>
                          <w:szCs w:val="24"/>
                        </w:rPr>
                        <w:t>No smoking or vaping is permitted in the building or directly outside of the centre doors.</w:t>
                      </w:r>
                    </w:p>
                    <w:p w:rsidR="004E2AEB" w:rsidRPr="00FA675E" w:rsidRDefault="004E2AEB" w:rsidP="00394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9999"/>
                          <w:sz w:val="24"/>
                          <w:szCs w:val="24"/>
                        </w:rPr>
                      </w:pPr>
                      <w:r w:rsidRPr="00FA675E">
                        <w:rPr>
                          <w:color w:val="009999"/>
                          <w:sz w:val="24"/>
                          <w:szCs w:val="24"/>
                        </w:rPr>
                        <w:t xml:space="preserve">The room should be left in a clean and orderly state with litter </w:t>
                      </w:r>
                      <w:r w:rsidR="00BE23E9">
                        <w:rPr>
                          <w:color w:val="009999"/>
                          <w:sz w:val="24"/>
                          <w:szCs w:val="24"/>
                        </w:rPr>
                        <w:t xml:space="preserve">or food items </w:t>
                      </w:r>
                      <w:r w:rsidRPr="00FA675E">
                        <w:rPr>
                          <w:color w:val="009999"/>
                          <w:sz w:val="24"/>
                          <w:szCs w:val="24"/>
                        </w:rPr>
                        <w:t xml:space="preserve">disposed of in the bins provided and mugs / glasses returned to the kitchen area. </w:t>
                      </w:r>
                    </w:p>
                    <w:p w:rsidR="004E2AEB" w:rsidRPr="00FA675E" w:rsidRDefault="0071197F" w:rsidP="00394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color w:val="009999"/>
                          <w:sz w:val="24"/>
                          <w:szCs w:val="24"/>
                        </w:rPr>
                        <w:t>The m</w:t>
                      </w:r>
                      <w:r w:rsidR="00BD6FDC" w:rsidRPr="00FA675E">
                        <w:rPr>
                          <w:color w:val="009999"/>
                          <w:sz w:val="24"/>
                          <w:szCs w:val="24"/>
                        </w:rPr>
                        <w:t xml:space="preserve">eeting host will be given a meeting room key and main door access fob for </w:t>
                      </w:r>
                      <w:r>
                        <w:rPr>
                          <w:color w:val="009999"/>
                          <w:sz w:val="24"/>
                          <w:szCs w:val="24"/>
                        </w:rPr>
                        <w:t>the duration of their meeting. The m</w:t>
                      </w:r>
                      <w:r w:rsidR="00BD6FDC" w:rsidRPr="00FA675E">
                        <w:rPr>
                          <w:color w:val="009999"/>
                          <w:sz w:val="24"/>
                          <w:szCs w:val="24"/>
                        </w:rPr>
                        <w:t>eeting host is responsible for returning this key</w:t>
                      </w:r>
                      <w:r>
                        <w:rPr>
                          <w:color w:val="009999"/>
                          <w:sz w:val="24"/>
                          <w:szCs w:val="24"/>
                        </w:rPr>
                        <w:t xml:space="preserve"> (along with any other TEC items)</w:t>
                      </w:r>
                      <w:r w:rsidR="00BD6FDC" w:rsidRPr="00FA675E">
                        <w:rPr>
                          <w:color w:val="009999"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color w:val="009999"/>
                          <w:sz w:val="24"/>
                          <w:szCs w:val="24"/>
                        </w:rPr>
                        <w:t xml:space="preserve">the </w:t>
                      </w:r>
                      <w:r w:rsidR="00BD6FDC" w:rsidRPr="00FA675E">
                        <w:rPr>
                          <w:color w:val="009999"/>
                          <w:sz w:val="24"/>
                          <w:szCs w:val="24"/>
                        </w:rPr>
                        <w:t xml:space="preserve">security of items in the room. </w:t>
                      </w:r>
                    </w:p>
                    <w:p w:rsidR="00BD6FDC" w:rsidRPr="00FA675E" w:rsidRDefault="00BD6FDC" w:rsidP="00394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9999"/>
                          <w:sz w:val="24"/>
                          <w:szCs w:val="24"/>
                        </w:rPr>
                      </w:pPr>
                      <w:r w:rsidRPr="00FA675E">
                        <w:rPr>
                          <w:color w:val="009999"/>
                          <w:sz w:val="24"/>
                          <w:szCs w:val="24"/>
                        </w:rPr>
                        <w:t xml:space="preserve">Tamworth Borough Council is not liable for any loss of items, damages or personal injury incurred. </w:t>
                      </w:r>
                    </w:p>
                    <w:p w:rsidR="004E2AEB" w:rsidRPr="00FA675E" w:rsidRDefault="004E2AEB" w:rsidP="005F064D">
                      <w:pPr>
                        <w:rPr>
                          <w:color w:val="009999"/>
                          <w:sz w:val="24"/>
                          <w:szCs w:val="24"/>
                        </w:rPr>
                      </w:pPr>
                    </w:p>
                    <w:p w:rsidR="004E2AEB" w:rsidRDefault="004E2AEB" w:rsidP="005F064D">
                      <w:pPr>
                        <w:rPr>
                          <w:color w:val="009999"/>
                          <w:sz w:val="40"/>
                          <w:szCs w:val="40"/>
                        </w:rPr>
                      </w:pPr>
                    </w:p>
                    <w:p w:rsidR="004E2AEB" w:rsidRDefault="004E2AEB" w:rsidP="005F064D">
                      <w:pPr>
                        <w:rPr>
                          <w:color w:val="009999"/>
                          <w:sz w:val="40"/>
                          <w:szCs w:val="40"/>
                        </w:rPr>
                      </w:pPr>
                    </w:p>
                    <w:p w:rsidR="004E2AEB" w:rsidRPr="005F064D" w:rsidRDefault="004E2AEB" w:rsidP="005F064D">
                      <w:pPr>
                        <w:rPr>
                          <w:color w:val="009999"/>
                          <w:sz w:val="40"/>
                          <w:szCs w:val="40"/>
                        </w:rPr>
                      </w:pPr>
                    </w:p>
                    <w:p w:rsidR="004E2AEB" w:rsidRPr="005F064D" w:rsidRDefault="004E2AEB" w:rsidP="005F064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3B8">
        <w:tab/>
      </w:r>
    </w:p>
    <w:sectPr w:rsidR="00F3742D" w:rsidRPr="007263B8" w:rsidSect="00CF49F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D0562"/>
    <w:multiLevelType w:val="hybridMultilevel"/>
    <w:tmpl w:val="614C3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C340D"/>
    <w:multiLevelType w:val="hybridMultilevel"/>
    <w:tmpl w:val="4B12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03"/>
    <w:rsid w:val="0003093B"/>
    <w:rsid w:val="000958F2"/>
    <w:rsid w:val="000B006E"/>
    <w:rsid w:val="00160959"/>
    <w:rsid w:val="002A340F"/>
    <w:rsid w:val="00327BD4"/>
    <w:rsid w:val="00363F2D"/>
    <w:rsid w:val="003947F3"/>
    <w:rsid w:val="004D1B73"/>
    <w:rsid w:val="004E2AEB"/>
    <w:rsid w:val="0056086D"/>
    <w:rsid w:val="0058503F"/>
    <w:rsid w:val="005C6D03"/>
    <w:rsid w:val="005D27E9"/>
    <w:rsid w:val="005F064D"/>
    <w:rsid w:val="006A08C5"/>
    <w:rsid w:val="006F506C"/>
    <w:rsid w:val="0071197F"/>
    <w:rsid w:val="007263B8"/>
    <w:rsid w:val="00737CA0"/>
    <w:rsid w:val="00827E6E"/>
    <w:rsid w:val="008E618A"/>
    <w:rsid w:val="00A9777D"/>
    <w:rsid w:val="00AC059C"/>
    <w:rsid w:val="00B064EB"/>
    <w:rsid w:val="00BB605F"/>
    <w:rsid w:val="00BD15C2"/>
    <w:rsid w:val="00BD6FDC"/>
    <w:rsid w:val="00BE23E9"/>
    <w:rsid w:val="00BE582E"/>
    <w:rsid w:val="00CA3605"/>
    <w:rsid w:val="00CF2162"/>
    <w:rsid w:val="00CF49F1"/>
    <w:rsid w:val="00F3742D"/>
    <w:rsid w:val="00FA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@tamworth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mworth.gov.uk/car-park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c@tamworth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mworth.gov.uk/car-pa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297F34EA</Template>
  <TotalTime>103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Toone, Anna</dc:creator>
  <cp:lastModifiedBy>Osborne, Michael</cp:lastModifiedBy>
  <cp:revision>25</cp:revision>
  <cp:lastPrinted>2017-07-24T07:02:00Z</cp:lastPrinted>
  <dcterms:created xsi:type="dcterms:W3CDTF">2017-05-25T08:17:00Z</dcterms:created>
  <dcterms:modified xsi:type="dcterms:W3CDTF">2017-10-06T12:25:00Z</dcterms:modified>
</cp:coreProperties>
</file>